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footer2.xml" ContentType="application/vnd.openxmlformats-officedocument.wordprocessingml.footer+xml"/>
  <Override PartName="/word/document.xml" ContentType="application/vnd.openxmlformats-officedocument.wordprocessingml.document.main+xml"/>
  <Override PartName="/word/numbering.xml" ContentType="application/vnd.openxmlformats-officedocument.wordprocessingml.numbering+xml"/>
  <Override PartName="/word/footer3.xml" ContentType="application/vnd.openxmlformats-officedocument.wordprocessingml.footer+xml"/>
  <Override PartName="/word/footnotes.xml" ContentType="application/vnd.openxmlformats-officedocument.wordprocessingml.footnot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3"/>
        <w:numPr>
          <w:ilvl w:val="2"/>
          <w:numId w:val="1"/>
        </w:numPr>
        <w:spacing w:before="140" w:after="120"/>
        <w:ind w:hanging="0" w:start="0"/>
        <w:rPr/>
      </w:pPr>
      <w:r>
        <w:rPr/>
        <w:t xml:space="preserve">Research Ethics Approval Request: </w:t>
        <w:br/>
        <w:t>Focus Group Research Article</w:t>
      </w:r>
    </w:p>
    <w:p>
      <w:pPr>
        <w:pStyle w:val="BodyText"/>
        <w:rPr/>
      </w:pPr>
      <w:r>
        <w:rPr/>
        <w:t>Research Ethics Committee, Worldwide University.</w:t>
      </w:r>
    </w:p>
    <w:p>
      <w:pPr>
        <w:pStyle w:val="BodyText"/>
        <w:jc w:val="end"/>
        <w:rPr>
          <w:sz w:val="18"/>
          <w:szCs w:val="18"/>
        </w:rPr>
      </w:pPr>
      <w:r>
        <w:rPr>
          <w:sz w:val="18"/>
          <w:szCs w:val="18"/>
        </w:rPr>
        <w:t>Ver. 2 Aug '26</w:t>
      </w:r>
    </w:p>
    <w:p>
      <w:pPr>
        <w:pStyle w:val="Heading4"/>
        <w:numPr>
          <w:ilvl w:val="3"/>
          <w:numId w:val="1"/>
        </w:numPr>
        <w:rPr/>
      </w:pPr>
      <w:r>
        <w:rPr/>
        <w:t>Procedure</w:t>
      </w:r>
    </w:p>
    <w:p>
      <w:pPr>
        <w:pStyle w:val="Normal"/>
        <w:spacing w:before="0" w:after="170"/>
        <w:rPr/>
      </w:pPr>
      <w:r>
        <w:rPr/>
        <w:t>Please complete this form and submit it to your supervisor. If approved by your supervisor, it will be sent to the WU Research Ethics Committee.</w:t>
      </w:r>
    </w:p>
    <w:tbl>
      <w:tblPr>
        <w:tblW w:w="5000" w:type="pct"/>
        <w:jc w:val="start"/>
        <w:tblInd w:w="0" w:type="dxa"/>
        <w:tblLayout w:type="fixed"/>
        <w:tblCellMar>
          <w:top w:w="57" w:type="dxa"/>
          <w:start w:w="57" w:type="dxa"/>
          <w:bottom w:w="57" w:type="dxa"/>
          <w:end w:w="57" w:type="dxa"/>
        </w:tblCellMar>
      </w:tblPr>
      <w:tblGrid>
        <w:gridCol w:w="2687"/>
        <w:gridCol w:w="6271"/>
      </w:tblGrid>
      <w:tr>
        <w:trPr/>
        <w:tc>
          <w:tcPr>
            <w:tcW w:w="2687" w:type="dxa"/>
            <w:tcBorders/>
          </w:tcPr>
          <w:p>
            <w:pPr>
              <w:pStyle w:val="Normal"/>
              <w:jc w:val="end"/>
              <w:rPr/>
            </w:pPr>
            <w:r>
              <w:rPr/>
              <w:t xml:space="preserve">Full </w:t>
              <w:br/>
              <w:t>name (according to ID card) :</w:t>
            </w:r>
          </w:p>
        </w:tc>
        <w:tc>
          <w:tcPr>
            <w:tcW w:w="6271" w:type="dxa"/>
            <w:tcBorders>
              <w:top w:val="single" w:sz="2" w:space="0" w:color="000000"/>
              <w:start w:val="single" w:sz="2" w:space="0" w:color="000000"/>
              <w:bottom w:val="single" w:sz="2" w:space="0" w:color="000000"/>
              <w:end w:val="single" w:sz="2" w:space="0" w:color="000000"/>
            </w:tcBorders>
          </w:tcPr>
          <w:p>
            <w:pPr>
              <w:pStyle w:val="Normal"/>
              <w:rPr/>
            </w:pPr>
            <w:r>
              <w:rPr/>
            </w:r>
          </w:p>
        </w:tc>
      </w:tr>
      <w:tr>
        <w:trPr/>
        <w:tc>
          <w:tcPr>
            <w:tcW w:w="2687" w:type="dxa"/>
            <w:tcBorders/>
          </w:tcPr>
          <w:p>
            <w:pPr>
              <w:pStyle w:val="Normal"/>
              <w:jc w:val="end"/>
              <w:rPr/>
            </w:pPr>
            <w:r>
              <w:rPr/>
              <w:t>Date:</w:t>
            </w:r>
          </w:p>
        </w:tc>
        <w:tc>
          <w:tcPr>
            <w:tcW w:w="6271" w:type="dxa"/>
            <w:tcBorders>
              <w:start w:val="single" w:sz="2" w:space="0" w:color="000000"/>
              <w:bottom w:val="single" w:sz="2" w:space="0" w:color="000000"/>
              <w:end w:val="single" w:sz="2" w:space="0" w:color="000000"/>
            </w:tcBorders>
          </w:tcPr>
          <w:p>
            <w:pPr>
              <w:pStyle w:val="Normal"/>
              <w:rPr/>
            </w:pPr>
            <w:r>
              <w:rPr/>
            </w:r>
          </w:p>
        </w:tc>
      </w:tr>
      <w:tr>
        <w:trPr/>
        <w:tc>
          <w:tcPr>
            <w:tcW w:w="2687" w:type="dxa"/>
            <w:tcBorders/>
          </w:tcPr>
          <w:p>
            <w:pPr>
              <w:pStyle w:val="Normal"/>
              <w:jc w:val="end"/>
              <w:rPr/>
            </w:pPr>
            <w:r>
              <w:rPr/>
              <w:t>Research topics:</w:t>
            </w:r>
          </w:p>
        </w:tc>
        <w:tc>
          <w:tcPr>
            <w:tcW w:w="6271" w:type="dxa"/>
            <w:tcBorders>
              <w:start w:val="single" w:sz="2" w:space="0" w:color="000000"/>
              <w:bottom w:val="single" w:sz="2" w:space="0" w:color="000000"/>
              <w:end w:val="single" w:sz="2" w:space="0" w:color="000000"/>
            </w:tcBorders>
          </w:tcPr>
          <w:p>
            <w:pPr>
              <w:pStyle w:val="Normal"/>
              <w:rPr/>
            </w:pPr>
            <w:r>
              <w:rPr/>
            </w:r>
          </w:p>
        </w:tc>
      </w:tr>
      <w:tr>
        <w:trPr/>
        <w:tc>
          <w:tcPr>
            <w:tcW w:w="2687" w:type="dxa"/>
            <w:tcBorders/>
          </w:tcPr>
          <w:p>
            <w:pPr>
              <w:pStyle w:val="Normal"/>
              <w:jc w:val="end"/>
              <w:rPr/>
            </w:pPr>
            <w:r>
              <w:rPr/>
              <w:t>Research questions:</w:t>
            </w:r>
          </w:p>
        </w:tc>
        <w:tc>
          <w:tcPr>
            <w:tcW w:w="6271" w:type="dxa"/>
            <w:tcBorders>
              <w:start w:val="single" w:sz="2" w:space="0" w:color="000000"/>
              <w:bottom w:val="single" w:sz="2" w:space="0" w:color="000000"/>
              <w:end w:val="single" w:sz="2" w:space="0" w:color="000000"/>
            </w:tcBorders>
          </w:tcPr>
          <w:p>
            <w:pPr>
              <w:pStyle w:val="Normal"/>
              <w:rPr/>
            </w:pPr>
            <w:r>
              <w:rPr/>
            </w:r>
          </w:p>
        </w:tc>
      </w:tr>
      <w:tr>
        <w:trPr/>
        <w:tc>
          <w:tcPr>
            <w:tcW w:w="2687" w:type="dxa"/>
            <w:tcBorders/>
          </w:tcPr>
          <w:p>
            <w:pPr>
              <w:pStyle w:val="Normal"/>
              <w:jc w:val="end"/>
              <w:rPr/>
            </w:pPr>
            <w:r>
              <w:rPr/>
              <w:t>Population:</w:t>
            </w:r>
          </w:p>
        </w:tc>
        <w:tc>
          <w:tcPr>
            <w:tcW w:w="6271" w:type="dxa"/>
            <w:tcBorders>
              <w:start w:val="single" w:sz="2" w:space="0" w:color="000000"/>
              <w:bottom w:val="single" w:sz="2" w:space="0" w:color="000000"/>
              <w:end w:val="single" w:sz="2" w:space="0" w:color="000000"/>
            </w:tcBorders>
          </w:tcPr>
          <w:p>
            <w:pPr>
              <w:pStyle w:val="Normal"/>
              <w:rPr/>
            </w:pPr>
            <w:r>
              <w:rPr/>
            </w:r>
          </w:p>
        </w:tc>
      </w:tr>
      <w:tr>
        <w:trPr/>
        <w:tc>
          <w:tcPr>
            <w:tcW w:w="2687" w:type="dxa"/>
            <w:tcBorders/>
          </w:tcPr>
          <w:p>
            <w:pPr>
              <w:pStyle w:val="Normal"/>
              <w:jc w:val="end"/>
              <w:rPr/>
            </w:pPr>
            <w:r>
              <w:rPr/>
              <w:t>Who are the respondents?</w:t>
            </w:r>
          </w:p>
        </w:tc>
        <w:tc>
          <w:tcPr>
            <w:tcW w:w="6271" w:type="dxa"/>
            <w:tcBorders>
              <w:start w:val="single" w:sz="2" w:space="0" w:color="000000"/>
              <w:bottom w:val="single" w:sz="2" w:space="0" w:color="000000"/>
              <w:end w:val="single" w:sz="2" w:space="0" w:color="000000"/>
            </w:tcBorders>
          </w:tcPr>
          <w:p>
            <w:pPr>
              <w:pStyle w:val="Normal"/>
              <w:rPr/>
            </w:pPr>
            <w:r>
              <w:rPr/>
            </w:r>
          </w:p>
        </w:tc>
      </w:tr>
      <w:tr>
        <w:trPr/>
        <w:tc>
          <w:tcPr>
            <w:tcW w:w="2687" w:type="dxa"/>
            <w:tcBorders/>
          </w:tcPr>
          <w:p>
            <w:pPr>
              <w:pStyle w:val="Normal"/>
              <w:jc w:val="end"/>
              <w:rPr/>
            </w:pPr>
            <w:r>
              <w:rPr/>
              <w:t>How many focus groups:</w:t>
            </w:r>
          </w:p>
        </w:tc>
        <w:tc>
          <w:tcPr>
            <w:tcW w:w="6271" w:type="dxa"/>
            <w:tcBorders>
              <w:start w:val="single" w:sz="2" w:space="0" w:color="000000"/>
              <w:bottom w:val="single" w:sz="2" w:space="0" w:color="000000"/>
              <w:end w:val="single" w:sz="2" w:space="0" w:color="000000"/>
            </w:tcBorders>
          </w:tcPr>
          <w:p>
            <w:pPr>
              <w:pStyle w:val="Normal"/>
              <w:rPr/>
            </w:pPr>
            <w:r>
              <w:rPr/>
            </w:r>
          </w:p>
        </w:tc>
      </w:tr>
      <w:tr>
        <w:trPr/>
        <w:tc>
          <w:tcPr>
            <w:tcW w:w="2687" w:type="dxa"/>
            <w:tcBorders/>
          </w:tcPr>
          <w:p>
            <w:pPr>
              <w:pStyle w:val="Normal"/>
              <w:jc w:val="end"/>
              <w:rPr/>
            </w:pPr>
            <w:r>
              <w:rPr/>
              <w:t xml:space="preserve">Number of respondents </w:t>
              <w:br/>
              <w:t>(approximately):</w:t>
            </w:r>
          </w:p>
        </w:tc>
        <w:tc>
          <w:tcPr>
            <w:tcW w:w="6271" w:type="dxa"/>
            <w:tcBorders>
              <w:start w:val="single" w:sz="2" w:space="0" w:color="000000"/>
              <w:bottom w:val="single" w:sz="2" w:space="0" w:color="000000"/>
              <w:end w:val="single" w:sz="2" w:space="0" w:color="000000"/>
            </w:tcBorders>
          </w:tcPr>
          <w:p>
            <w:pPr>
              <w:pStyle w:val="Normal"/>
              <w:rPr/>
            </w:pPr>
            <w:r>
              <w:rPr/>
            </w:r>
          </w:p>
        </w:tc>
      </w:tr>
      <w:tr>
        <w:trPr/>
        <w:tc>
          <w:tcPr>
            <w:tcW w:w="2687" w:type="dxa"/>
            <w:tcBorders/>
          </w:tcPr>
          <w:p>
            <w:pPr>
              <w:pStyle w:val="Normal"/>
              <w:jc w:val="end"/>
              <w:rPr/>
            </w:pPr>
            <w:r>
              <w:rPr/>
              <w:t>Context:</w:t>
            </w:r>
          </w:p>
        </w:tc>
        <w:tc>
          <w:tcPr>
            <w:tcW w:w="6271" w:type="dxa"/>
            <w:tcBorders>
              <w:start w:val="single" w:sz="2" w:space="0" w:color="000000"/>
              <w:bottom w:val="single" w:sz="2" w:space="0" w:color="000000"/>
              <w:end w:val="single" w:sz="2" w:space="0" w:color="000000"/>
            </w:tcBorders>
          </w:tcPr>
          <w:p>
            <w:pPr>
              <w:pStyle w:val="Normal"/>
              <w:rPr/>
            </w:pPr>
            <w:r>
              <w:rPr/>
            </w:r>
          </w:p>
        </w:tc>
      </w:tr>
      <w:tr>
        <w:trPr/>
        <w:tc>
          <w:tcPr>
            <w:tcW w:w="2687" w:type="dxa"/>
            <w:tcBorders/>
          </w:tcPr>
          <w:p>
            <w:pPr>
              <w:pStyle w:val="Normal"/>
              <w:jc w:val="end"/>
              <w:rPr/>
            </w:pPr>
            <w:r>
              <w:rPr/>
              <w:t>List of Questions for Focus Group:</w:t>
            </w:r>
          </w:p>
        </w:tc>
        <w:tc>
          <w:tcPr>
            <w:tcW w:w="6271" w:type="dxa"/>
            <w:tcBorders>
              <w:start w:val="single" w:sz="2" w:space="0" w:color="000000"/>
              <w:bottom w:val="single" w:sz="2" w:space="0" w:color="000000"/>
              <w:end w:val="single" w:sz="2" w:space="0" w:color="000000"/>
            </w:tcBorders>
          </w:tcPr>
          <w:p>
            <w:pPr>
              <w:pStyle w:val="Normal"/>
              <w:rPr/>
            </w:pPr>
            <w:r>
              <w:rPr/>
            </w:r>
          </w:p>
        </w:tc>
      </w:tr>
    </w:tbl>
    <w:p>
      <w:pPr>
        <w:pStyle w:val="Normal"/>
        <w:rPr/>
      </w:pPr>
      <w:r>
        <w:rPr/>
      </w:r>
    </w:p>
    <w:p>
      <w:pPr>
        <w:pStyle w:val="Heading2"/>
        <w:numPr>
          <w:ilvl w:val="1"/>
          <w:numId w:val="1"/>
        </w:numPr>
        <w:ind w:hanging="0" w:start="0"/>
        <w:rPr/>
      </w:pPr>
      <w:r>
        <w:rPr/>
        <w:t>Research Ethics Protocol</w:t>
      </w:r>
      <w:r>
        <w:rPr>
          <w:rStyle w:val="FootnoteReference"/>
        </w:rPr>
        <w:footnoteReference w:id="2"/>
      </w:r>
    </w:p>
    <w:p>
      <w:pPr>
        <w:pStyle w:val="Heading4"/>
        <w:numPr>
          <w:ilvl w:val="3"/>
          <w:numId w:val="1"/>
        </w:numPr>
        <w:rPr/>
      </w:pPr>
      <w:r>
        <w:rPr/>
        <w:t>Institutional Review and Approval</w:t>
      </w:r>
    </w:p>
    <w:p>
      <w:pPr>
        <w:pStyle w:val="BodyText"/>
        <w:rPr/>
      </w:pPr>
      <w:r>
        <w:rPr/>
        <w:t>Researchers will not recruit participants, collect data, or begin other research activities involving participants before receiving written consent.</w:t>
      </w:r>
    </w:p>
    <w:p>
      <w:pPr>
        <w:pStyle w:val="Heading4"/>
        <w:numPr>
          <w:ilvl w:val="3"/>
          <w:numId w:val="1"/>
        </w:numPr>
        <w:rPr/>
      </w:pPr>
      <w:r>
        <w:rPr/>
        <w:t>Voluntary Participation and Informed Consent</w:t>
      </w:r>
    </w:p>
    <w:p>
      <w:pPr>
        <w:pStyle w:val="BodyText"/>
        <w:rPr/>
      </w:pPr>
      <w:r>
        <w:rPr/>
        <w:t>Before participants agree to participate, the researcher will explain:</w:t>
      </w:r>
    </w:p>
    <w:p>
      <w:pPr>
        <w:pStyle w:val="BodyText"/>
        <w:numPr>
          <w:ilvl w:val="0"/>
          <w:numId w:val="2"/>
        </w:numPr>
        <w:tabs>
          <w:tab w:val="clear" w:pos="709"/>
          <w:tab w:val="left" w:pos="0" w:leader="none"/>
        </w:tabs>
        <w:ind w:hanging="283" w:start="709"/>
        <w:rPr/>
      </w:pPr>
      <w:r>
        <w:rPr/>
        <w:t>objectives and scope of the research;</w:t>
      </w:r>
    </w:p>
    <w:p>
      <w:pPr>
        <w:pStyle w:val="BodyText"/>
        <w:numPr>
          <w:ilvl w:val="0"/>
          <w:numId w:val="2"/>
        </w:numPr>
        <w:tabs>
          <w:tab w:val="clear" w:pos="709"/>
          <w:tab w:val="left" w:pos="0" w:leader="none"/>
        </w:tabs>
        <w:ind w:hanging="283" w:start="709"/>
        <w:rPr/>
      </w:pPr>
      <w:r>
        <w:rPr/>
        <w:t>what the participants will do in the research;</w:t>
      </w:r>
    </w:p>
    <w:p>
      <w:pPr>
        <w:pStyle w:val="BodyText"/>
        <w:numPr>
          <w:ilvl w:val="0"/>
          <w:numId w:val="2"/>
        </w:numPr>
        <w:tabs>
          <w:tab w:val="clear" w:pos="709"/>
          <w:tab w:val="left" w:pos="0" w:leader="none"/>
        </w:tabs>
        <w:ind w:hanging="283" w:start="709"/>
        <w:rPr/>
      </w:pPr>
      <w:r>
        <w:rPr/>
        <w:t>how researchers will use and protect data;</w:t>
      </w:r>
    </w:p>
    <w:p>
      <w:pPr>
        <w:pStyle w:val="BodyText"/>
        <w:numPr>
          <w:ilvl w:val="0"/>
          <w:numId w:val="2"/>
        </w:numPr>
        <w:tabs>
          <w:tab w:val="clear" w:pos="709"/>
          <w:tab w:val="left" w:pos="0" w:leader="none"/>
        </w:tabs>
        <w:ind w:hanging="283" w:start="709"/>
        <w:rPr/>
      </w:pPr>
      <w:r>
        <w:rPr/>
        <w:t>that participation is completely voluntary;</w:t>
      </w:r>
    </w:p>
    <w:p>
      <w:pPr>
        <w:pStyle w:val="BodyText"/>
        <w:numPr>
          <w:ilvl w:val="0"/>
          <w:numId w:val="2"/>
        </w:numPr>
        <w:tabs>
          <w:tab w:val="clear" w:pos="709"/>
          <w:tab w:val="left" w:pos="0" w:leader="none"/>
        </w:tabs>
        <w:ind w:hanging="283" w:start="709"/>
        <w:rPr/>
      </w:pPr>
      <w:r>
        <w:rPr/>
        <w:t>that participants may withdraw at any time without giving a reason and without suffering any academic, employment, professional, personal or other loss;</w:t>
      </w:r>
    </w:p>
    <w:p>
      <w:pPr>
        <w:pStyle w:val="BodyText"/>
        <w:numPr>
          <w:ilvl w:val="0"/>
          <w:numId w:val="2"/>
        </w:numPr>
        <w:tabs>
          <w:tab w:val="clear" w:pos="709"/>
          <w:tab w:val="left" w:pos="0" w:leader="none"/>
        </w:tabs>
        <w:ind w:hanging="283" w:start="709"/>
        <w:rPr/>
      </w:pPr>
      <w:r>
        <w:rPr/>
        <w:t>that participants do not have to answer questions they do not wish to answer; and</w:t>
      </w:r>
    </w:p>
    <w:p>
      <w:pPr>
        <w:pStyle w:val="BodyText"/>
        <w:numPr>
          <w:ilvl w:val="0"/>
          <w:numId w:val="2"/>
        </w:numPr>
        <w:tabs>
          <w:tab w:val="clear" w:pos="709"/>
          <w:tab w:val="left" w:pos="0" w:leader="none"/>
        </w:tabs>
        <w:ind w:hanging="283" w:start="709"/>
        <w:rPr/>
      </w:pPr>
      <w:r>
        <w:rPr/>
        <w:t>that this research does not pose a greater risk than normal daily activities.</w:t>
      </w:r>
    </w:p>
    <w:p>
      <w:pPr>
        <w:pStyle w:val="BodyText"/>
        <w:rPr/>
      </w:pPr>
      <w:r>
        <w:rPr/>
        <w:t>Researchers will obtain informed consent from each participant before commencing any research activities.</w:t>
      </w:r>
    </w:p>
    <w:p>
      <w:pPr>
        <w:pStyle w:val="Heading4"/>
        <w:numPr>
          <w:ilvl w:val="3"/>
          <w:numId w:val="1"/>
        </w:numPr>
        <w:rPr/>
      </w:pPr>
      <w:r>
        <w:rPr/>
        <w:t>Protection against Coercion and Undue Influence</w:t>
      </w:r>
    </w:p>
    <w:p>
      <w:pPr>
        <w:pStyle w:val="BodyText"/>
        <w:rPr/>
      </w:pPr>
      <w:r>
        <w:rPr/>
        <w:t>If the researcher has academic, supervisory, occupational, professional, or other authority over potential participants, the researcher will take additional steps to minimize the risk of coercion or undue influence:</w:t>
      </w:r>
    </w:p>
    <w:p>
      <w:pPr>
        <w:pStyle w:val="BodyText"/>
        <w:numPr>
          <w:ilvl w:val="0"/>
          <w:numId w:val="3"/>
        </w:numPr>
        <w:tabs>
          <w:tab w:val="clear" w:pos="709"/>
          <w:tab w:val="left" w:pos="0" w:leader="none"/>
        </w:tabs>
        <w:ind w:hanging="283" w:start="709"/>
        <w:rPr/>
      </w:pPr>
      <w:r>
        <w:rPr/>
        <w:t>Where possible, an independent third party with no supervisory, teaching, assessment or other authority over prospective participants will manage the recruitment process.</w:t>
      </w:r>
    </w:p>
    <w:p>
      <w:pPr>
        <w:pStyle w:val="BodyText"/>
        <w:numPr>
          <w:ilvl w:val="0"/>
          <w:numId w:val="3"/>
        </w:numPr>
        <w:tabs>
          <w:tab w:val="clear" w:pos="709"/>
          <w:tab w:val="left" w:pos="0" w:leader="none"/>
        </w:tabs>
        <w:ind w:hanging="283" w:start="709"/>
        <w:rPr/>
      </w:pPr>
      <w:r>
        <w:rPr/>
        <w:t>Researchers who have authority over potential participants will not pressure or personally encourage them to participate.</w:t>
      </w:r>
    </w:p>
    <w:p>
      <w:pPr>
        <w:pStyle w:val="BodyText"/>
        <w:numPr>
          <w:ilvl w:val="0"/>
          <w:numId w:val="3"/>
        </w:numPr>
        <w:tabs>
          <w:tab w:val="clear" w:pos="709"/>
          <w:tab w:val="left" w:pos="0" w:leader="none"/>
        </w:tabs>
        <w:ind w:hanging="283" w:start="709"/>
        <w:rPr/>
      </w:pPr>
      <w:r>
        <w:rPr/>
        <w:t>Recruitment and informed consent materials will clearly state that the decision to participate, not participate, or withdraw will not affect the participant's academic standing, grades, assessments, employment, performance evaluations, career development, access to services, or relationship with the institution.</w:t>
      </w:r>
    </w:p>
    <w:p>
      <w:pPr>
        <w:pStyle w:val="BodyText"/>
        <w:numPr>
          <w:ilvl w:val="0"/>
          <w:numId w:val="3"/>
        </w:numPr>
        <w:tabs>
          <w:tab w:val="clear" w:pos="709"/>
          <w:tab w:val="left" w:pos="0" w:leader="none"/>
        </w:tabs>
        <w:ind w:hanging="283" w:start="709"/>
        <w:rPr/>
      </w:pPr>
      <w:r>
        <w:rPr/>
        <w:t>Where possible, researchers will not know the identities of people who choose not to participate.</w:t>
      </w:r>
    </w:p>
    <w:p>
      <w:pPr>
        <w:pStyle w:val="Heading4"/>
        <w:numPr>
          <w:ilvl w:val="0"/>
          <w:numId w:val="0"/>
        </w:numPr>
        <w:ind w:hanging="0" w:start="0"/>
        <w:rPr/>
      </w:pPr>
      <w:r>
        <w:rPr/>
        <w:t>Confidentiality, De-identification, and Data Security</w:t>
      </w:r>
    </w:p>
    <w:p>
      <w:pPr>
        <w:pStyle w:val="BodyText"/>
        <w:rPr/>
      </w:pPr>
      <w:r>
        <w:rPr/>
        <w:t>Researchers will protect participants' privacy and confidentiality throughout the research process. Researchers will:</w:t>
      </w:r>
    </w:p>
    <w:p>
      <w:pPr>
        <w:pStyle w:val="BodyText"/>
        <w:numPr>
          <w:ilvl w:val="0"/>
          <w:numId w:val="4"/>
        </w:numPr>
        <w:tabs>
          <w:tab w:val="clear" w:pos="709"/>
          <w:tab w:val="left" w:pos="0" w:leader="none"/>
        </w:tabs>
        <w:ind w:hanging="283" w:start="709"/>
        <w:rPr/>
      </w:pPr>
      <w:r>
        <w:rPr/>
        <w:t>collect and store research data using secure systems and devices that are accessible only to authorized members of the research team;</w:t>
      </w:r>
    </w:p>
    <w:p>
      <w:pPr>
        <w:pStyle w:val="BodyText"/>
        <w:numPr>
          <w:ilvl w:val="0"/>
          <w:numId w:val="4"/>
        </w:numPr>
        <w:tabs>
          <w:tab w:val="clear" w:pos="709"/>
          <w:tab w:val="left" w:pos="0" w:leader="none"/>
        </w:tabs>
        <w:ind w:hanging="283" w:start="709"/>
        <w:rPr/>
      </w:pPr>
      <w:r>
        <w:rPr/>
        <w:t>notify participants about audio or video recording before asking for their consent;</w:t>
      </w:r>
    </w:p>
    <w:p>
      <w:pPr>
        <w:pStyle w:val="BodyText"/>
        <w:numPr>
          <w:ilvl w:val="0"/>
          <w:numId w:val="4"/>
        </w:numPr>
        <w:tabs>
          <w:tab w:val="clear" w:pos="709"/>
          <w:tab w:val="left" w:pos="0" w:leader="none"/>
        </w:tabs>
        <w:ind w:hanging="283" w:start="709"/>
        <w:rPr/>
      </w:pPr>
      <w:r>
        <w:rPr/>
        <w:t>transfer the recordings as soon as possible to a secure, password-protected storage location;</w:t>
      </w:r>
    </w:p>
    <w:p>
      <w:pPr>
        <w:pStyle w:val="BodyText"/>
        <w:numPr>
          <w:ilvl w:val="0"/>
          <w:numId w:val="4"/>
        </w:numPr>
        <w:tabs>
          <w:tab w:val="clear" w:pos="709"/>
          <w:tab w:val="left" w:pos="0" w:leader="none"/>
        </w:tabs>
        <w:ind w:hanging="283" w:start="709"/>
        <w:rPr/>
      </w:pPr>
      <w:r>
        <w:rPr/>
        <w:t>removing names, student or employee numbers, and other information that could directly identify participants when transcribing and preparing data for analysis;</w:t>
      </w:r>
    </w:p>
    <w:p>
      <w:pPr>
        <w:pStyle w:val="BodyText"/>
        <w:numPr>
          <w:ilvl w:val="0"/>
          <w:numId w:val="4"/>
        </w:numPr>
        <w:tabs>
          <w:tab w:val="clear" w:pos="709"/>
          <w:tab w:val="left" w:pos="0" w:leader="none"/>
        </w:tabs>
        <w:ind w:hanging="283" w:start="709"/>
        <w:rPr/>
      </w:pPr>
      <w:r>
        <w:rPr/>
        <w:t>remove or make more general information about organizations, locations, courses, positions, or other details that could be used to identify participants;</w:t>
      </w:r>
    </w:p>
    <w:p>
      <w:pPr>
        <w:pStyle w:val="BodyText"/>
        <w:numPr>
          <w:ilvl w:val="0"/>
          <w:numId w:val="4"/>
        </w:numPr>
        <w:tabs>
          <w:tab w:val="clear" w:pos="709"/>
          <w:tab w:val="left" w:pos="0" w:leader="none"/>
        </w:tabs>
        <w:ind w:hanging="283" w:start="709"/>
        <w:rPr/>
      </w:pPr>
      <w:r>
        <w:rPr/>
        <w:t>store separately and securely any documents linking the participant code to the participant's identity, and destroy them when no longer needed;</w:t>
      </w:r>
    </w:p>
    <w:p>
      <w:pPr>
        <w:pStyle w:val="BodyText"/>
        <w:numPr>
          <w:ilvl w:val="0"/>
          <w:numId w:val="4"/>
        </w:numPr>
        <w:tabs>
          <w:tab w:val="clear" w:pos="709"/>
          <w:tab w:val="left" w:pos="0" w:leader="none"/>
        </w:tabs>
        <w:ind w:hanging="283" w:start="709"/>
        <w:rPr/>
      </w:pPr>
      <w:r>
        <w:rPr/>
        <w:t>securely and permanently delete the original recording after reviewing the transcript and when the recording is no longer needed, in accordance with the institution's data retention policies; and</w:t>
      </w:r>
    </w:p>
    <w:p>
      <w:pPr>
        <w:pStyle w:val="BodyText"/>
        <w:numPr>
          <w:ilvl w:val="0"/>
          <w:numId w:val="4"/>
        </w:numPr>
        <w:tabs>
          <w:tab w:val="clear" w:pos="709"/>
          <w:tab w:val="left" w:pos="0" w:leader="none"/>
        </w:tabs>
        <w:ind w:hanging="283" w:start="709"/>
        <w:rPr/>
      </w:pPr>
      <w:r>
        <w:rPr/>
        <w:t>ensure that the final dataset used for analysis does not contain information that could reasonably be used to identify participants.</w:t>
      </w:r>
    </w:p>
    <w:p>
      <w:pPr>
        <w:pStyle w:val="BodyText"/>
        <w:rPr/>
      </w:pPr>
      <w:r>
        <w:rPr/>
      </w:r>
    </w:p>
    <w:p>
      <w:pPr>
        <w:pStyle w:val="BodyText"/>
        <w:rPr/>
      </w:pPr>
      <w:r>
        <w:rPr/>
        <w:t>In focus groups, researchers cannot guarantee that participants will maintain the confidentiality of information shared during the discussion. At the beginning of the session, researchers asked all participants not to share any information that could reveal the identity of other participants outside the discussion forum.</w:t>
      </w:r>
    </w:p>
    <w:p>
      <w:pPr>
        <w:pStyle w:val="Heading4"/>
        <w:numPr>
          <w:ilvl w:val="3"/>
          <w:numId w:val="1"/>
        </w:numPr>
        <w:rPr/>
      </w:pPr>
      <w:r>
        <w:rPr/>
        <w:t>Reporting of Research Results</w:t>
      </w:r>
    </w:p>
    <w:p>
      <w:pPr>
        <w:pStyle w:val="BodyText"/>
        <w:rPr/>
      </w:pPr>
      <w:r>
        <w:rPr/>
        <w:t>Researchers will protect participants' identities when reporting research results. If necessary, researchers will remove or alter potentially identifying details so that readers cannot reasonably identify participants or others.</w:t>
      </w:r>
    </w:p>
    <w:p>
      <w:pPr>
        <w:pStyle w:val="BodyText"/>
        <w:rPr/>
      </w:pPr>
      <w:r>
        <w:rPr/>
        <w:t>Researchers will only include de-identified information in reports, theses, presentations, publications, or other forms of dissemination of research results.</w:t>
      </w:r>
    </w:p>
    <w:p>
      <w:pPr>
        <w:pStyle w:val="BodyText"/>
        <w:bidi w:val="0"/>
        <w:rPr>
          <w:lang w:val="en-US"/>
        </w:rPr>
      </w:pPr>
      <w:r>
        <w:rPr>
          <w:lang w:val="en-US"/>
        </w:rPr>
      </w:r>
    </w:p>
    <w:sectPr>
      <w:footerReference w:type="even" r:id="rId2"/>
      <w:footerReference w:type="default" r:id="rId3"/>
      <w:footerReference w:type="first" r:id="rId4"/>
      <w:footnotePr>
        <w:numFmt w:val="decimal"/>
      </w:footnotePr>
      <w:type w:val="nextPage"/>
      <w:pgSz w:w="11906" w:h="16838"/>
      <w:pgMar w:left="1474" w:right="1474" w:gutter="0" w:header="0" w:top="1474" w:footer="1474" w:bottom="2026"/>
      <w:pgNumType w:fmt="decimal"/>
      <w:formProt w:val="false"/>
      <w:textDirection w:val="lrTb"/>
      <w:docGrid w:type="default" w:linePitch="600" w:charSpace="36864"/>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swiss"/>
    <w:pitch w:val="variable"/>
  </w:font>
  <w:font w:name="OpenSymbol">
    <w:altName w:val="Arial Unicode MS"/>
    <w:charset w:val="02"/>
    <w:family w:val="roman"/>
    <w:pitch w:val="variable"/>
  </w:font>
  <w:font w:name="Liberation Sans">
    <w:altName w:val="Arial"/>
    <w:charset w:val="00" w:characterSet="windows-1252"/>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bookmarkStart w:id="0" w:name="PageNumWizard_FOOTER_Default_Page_Style1"/>
    <w:r>
      <w:rPr/>
      <w:fldChar w:fldCharType="begin"/>
    </w:r>
    <w:r>
      <w:rPr/>
      <w:instrText xml:space="preserve"> PAGE </w:instrText>
    </w:r>
    <w:r>
      <w:rPr/>
      <w:fldChar w:fldCharType="separate"/>
    </w:r>
    <w:r>
      <w:rPr/>
      <w:t>3</w:t>
    </w:r>
    <w:r>
      <w:rPr/>
      <w:fldChar w:fldCharType="end"/>
    </w:r>
    <w:bookmarkEnd w:id="0"/>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bookmarkStart w:id="1" w:name="PageNumWizard_FOOTER_Default_Page_Style1"/>
    <w:r>
      <w:rPr/>
      <w:fldChar w:fldCharType="begin"/>
    </w:r>
    <w:r>
      <w:rPr/>
      <w:instrText xml:space="preserve"> PAGE </w:instrText>
    </w:r>
    <w:r>
      <w:rPr/>
      <w:fldChar w:fldCharType="separate"/>
    </w:r>
    <w:r>
      <w:rPr/>
      <w:t>3</w:t>
    </w:r>
    <w:r>
      <w:rPr/>
      <w:fldChar w:fldCharType="end"/>
    </w:r>
    <w:bookmarkEnd w:id="1"/>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r>
        <w:separator/>
      </w:r>
    </w:p>
  </w:footnote>
  <w:footnote w:id="1" w:type="continuationSeparator">
    <w:p>
      <w:r>
        <w:continuationSeparator/>
      </w:r>
    </w:p>
  </w:footnote>
  <w:footnote w:id="2">
    <w:p>
      <w:pPr>
        <w:pStyle w:val="FootnoteText"/>
        <w:rPr/>
      </w:pPr>
      <w:r>
        <w:rPr>
          <w:rStyle w:val="FootnoteCharacters"/>
        </w:rPr>
        <w:footnoteRef/>
      </w:r>
      <w:r>
        <w:rPr/>
        <w:t>The IRB may waive the requirement for written consent, for example, if the research poses minimal risks and does not normally require written consent outside the research context (45 CFR 46.117(c)). However, the IRB will still require verbal consent.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432" w:hanging="432"/>
      </w:pPr>
      <w:rPr/>
    </w:lvl>
    <w:lvl w:ilvl="1">
      <w:start w:val="1"/>
      <w:numFmt w:val="none"/>
      <w:suff w:val="nothing"/>
      <w:lvlText w:val="%2"/>
      <w:lvlJc w:val="start"/>
      <w:pPr>
        <w:tabs>
          <w:tab w:val="num" w:pos="0"/>
        </w:tabs>
        <w:ind w:start="576" w:hanging="576"/>
      </w:pPr>
      <w:rPr/>
    </w:lvl>
    <w:lvl w:ilvl="2">
      <w:start w:val="1"/>
      <w:numFmt w:val="none"/>
      <w:suff w:val="nothing"/>
      <w:lvlText w:val="%3"/>
      <w:lvlJc w:val="start"/>
      <w:pPr>
        <w:tabs>
          <w:tab w:val="num" w:pos="0"/>
        </w:tabs>
        <w:ind w:start="720" w:hanging="720"/>
      </w:pPr>
      <w:rPr/>
    </w:lvl>
    <w:lvl w:ilvl="3">
      <w:start w:val="1"/>
      <w:numFmt w:val="none"/>
      <w:suff w:val="nothing"/>
      <w:lvlText w:val="%4"/>
      <w:lvlJc w:val="start"/>
      <w:pPr>
        <w:tabs>
          <w:tab w:val="num" w:pos="0"/>
        </w:tabs>
        <w:ind w:start="864" w:hanging="864"/>
      </w:pPr>
      <w:rPr/>
    </w:lvl>
    <w:lvl w:ilvl="4">
      <w:start w:val="1"/>
      <w:numFmt w:val="none"/>
      <w:suff w:val="nothing"/>
      <w:lvlText w:val="%5"/>
      <w:lvlJc w:val="start"/>
      <w:pPr>
        <w:tabs>
          <w:tab w:val="num" w:pos="0"/>
        </w:tabs>
        <w:ind w:start="1008" w:hanging="1008"/>
      </w:pPr>
      <w:rPr/>
    </w:lvl>
    <w:lvl w:ilvl="5">
      <w:start w:val="1"/>
      <w:numFmt w:val="none"/>
      <w:suff w:val="nothing"/>
      <w:lvlText w:val="%6"/>
      <w:lvlJc w:val="start"/>
      <w:pPr>
        <w:tabs>
          <w:tab w:val="num" w:pos="0"/>
        </w:tabs>
        <w:ind w:start="1152" w:hanging="1152"/>
      </w:pPr>
      <w:rPr/>
    </w:lvl>
    <w:lvl w:ilvl="6">
      <w:start w:val="1"/>
      <w:numFmt w:val="none"/>
      <w:suff w:val="nothing"/>
      <w:lvlText w:val="%7"/>
      <w:lvlJc w:val="start"/>
      <w:pPr>
        <w:tabs>
          <w:tab w:val="num" w:pos="0"/>
        </w:tabs>
        <w:ind w:start="1296" w:hanging="1296"/>
      </w:pPr>
      <w:rPr/>
    </w:lvl>
    <w:lvl w:ilvl="7">
      <w:start w:val="1"/>
      <w:numFmt w:val="none"/>
      <w:suff w:val="nothing"/>
      <w:lvlText w:val="%8"/>
      <w:lvlJc w:val="start"/>
      <w:pPr>
        <w:tabs>
          <w:tab w:val="num" w:pos="0"/>
        </w:tabs>
        <w:ind w:start="1440" w:hanging="1440"/>
      </w:pPr>
      <w:rPr/>
    </w:lvl>
    <w:lvl w:ilvl="8">
      <w:start w:val="1"/>
      <w:numFmt w:val="none"/>
      <w:suff w:val="nothing"/>
      <w:lvlText w:val="%9"/>
      <w:lvlJc w:val="start"/>
      <w:pPr>
        <w:tabs>
          <w:tab w:val="num" w:pos="0"/>
        </w:tabs>
        <w:ind w:start="1584" w:hanging="1584"/>
      </w:pPr>
      <w:rPr/>
    </w:lvl>
  </w:abstractNum>
  <w:abstractNum w:abstractNumId="2">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3">
    <w:lvl w:ilvl="0">
      <w:start w:val="1"/>
      <w:numFmt w:val="bullet"/>
      <w:lvlText w:val=""/>
      <w:lvlJc w:val="start"/>
      <w:pPr>
        <w:tabs>
          <w:tab w:val="num" w:pos="709"/>
        </w:tabs>
        <w:ind w:start="709" w:hanging="283"/>
      </w:pPr>
      <w:rPr>
        <w:rFonts w:ascii="Symbol" w:hAnsi="Symbol" w:cs="Symbol" w:hint="default"/>
      </w:rPr>
    </w:lvl>
    <w:lvl w:ilvl="1">
      <w:start w:val="1"/>
      <w:numFmt w:val="bullet"/>
      <w:lvlText w:val=""/>
      <w:lvlJc w:val="start"/>
      <w:pPr>
        <w:tabs>
          <w:tab w:val="num" w:pos="1418"/>
        </w:tabs>
        <w:ind w:start="1418" w:hanging="283"/>
      </w:pPr>
      <w:rPr>
        <w:rFonts w:ascii="Symbol" w:hAnsi="Symbol" w:cs="Symbol" w:hint="default"/>
      </w:rPr>
    </w:lvl>
    <w:lvl w:ilvl="2">
      <w:start w:val="1"/>
      <w:numFmt w:val="bullet"/>
      <w:lvlText w:val=""/>
      <w:lvlJc w:val="start"/>
      <w:pPr>
        <w:tabs>
          <w:tab w:val="num" w:pos="2127"/>
        </w:tabs>
        <w:ind w:start="2127" w:hanging="283"/>
      </w:pPr>
      <w:rPr>
        <w:rFonts w:ascii="Symbol" w:hAnsi="Symbol" w:cs="Symbol" w:hint="default"/>
      </w:rPr>
    </w:lvl>
    <w:lvl w:ilvl="3">
      <w:start w:val="1"/>
      <w:numFmt w:val="bullet"/>
      <w:lvlText w:val=""/>
      <w:lvlJc w:val="start"/>
      <w:pPr>
        <w:tabs>
          <w:tab w:val="num" w:pos="2836"/>
        </w:tabs>
        <w:ind w:start="2836" w:hanging="283"/>
      </w:pPr>
      <w:rPr>
        <w:rFonts w:ascii="Symbol" w:hAnsi="Symbol" w:cs="Symbol" w:hint="default"/>
      </w:rPr>
    </w:lvl>
    <w:lvl w:ilvl="4">
      <w:start w:val="1"/>
      <w:numFmt w:val="bullet"/>
      <w:lvlText w:val=""/>
      <w:lvlJc w:val="start"/>
      <w:pPr>
        <w:tabs>
          <w:tab w:val="num" w:pos="3545"/>
        </w:tabs>
        <w:ind w:start="3545" w:hanging="283"/>
      </w:pPr>
      <w:rPr>
        <w:rFonts w:ascii="Symbol" w:hAnsi="Symbol" w:cs="Symbol" w:hint="default"/>
      </w:rPr>
    </w:lvl>
    <w:lvl w:ilvl="5">
      <w:start w:val="1"/>
      <w:numFmt w:val="bullet"/>
      <w:lvlText w:val=""/>
      <w:lvlJc w:val="start"/>
      <w:pPr>
        <w:tabs>
          <w:tab w:val="num" w:pos="4254"/>
        </w:tabs>
        <w:ind w:start="4254" w:hanging="283"/>
      </w:pPr>
      <w:rPr>
        <w:rFonts w:ascii="Symbol" w:hAnsi="Symbol" w:cs="Symbol" w:hint="default"/>
      </w:rPr>
    </w:lvl>
    <w:lvl w:ilvl="6">
      <w:start w:val="1"/>
      <w:numFmt w:val="bullet"/>
      <w:lvlText w:val=""/>
      <w:lvlJc w:val="start"/>
      <w:pPr>
        <w:tabs>
          <w:tab w:val="num" w:pos="4963"/>
        </w:tabs>
        <w:ind w:start="4963" w:hanging="283"/>
      </w:pPr>
      <w:rPr>
        <w:rFonts w:ascii="Symbol" w:hAnsi="Symbol" w:cs="Symbol" w:hint="default"/>
      </w:rPr>
    </w:lvl>
    <w:lvl w:ilvl="7">
      <w:start w:val="1"/>
      <w:numFmt w:val="bullet"/>
      <w:lvlText w:val=""/>
      <w:lvlJc w:val="start"/>
      <w:pPr>
        <w:tabs>
          <w:tab w:val="num" w:pos="5672"/>
        </w:tabs>
        <w:ind w:start="5672" w:hanging="283"/>
      </w:pPr>
      <w:rPr>
        <w:rFonts w:ascii="Symbol" w:hAnsi="Symbol" w:cs="Symbol" w:hint="default"/>
      </w:rPr>
    </w:lvl>
    <w:lvl w:ilvl="8">
      <w:start w:val="1"/>
      <w:numFmt w:val="bullet"/>
      <w:lvlText w:val=""/>
      <w:lvlJc w:val="start"/>
      <w:pPr>
        <w:tabs>
          <w:tab w:val="num" w:pos="6381"/>
        </w:tabs>
        <w:ind w:start="6381" w:hanging="283"/>
      </w:pPr>
      <w:rPr>
        <w:rFonts w:ascii="Symbol" w:hAnsi="Symbol" w:cs="Symbol" w:hint="default"/>
      </w:rPr>
    </w:lvl>
  </w:abstractNum>
  <w:abstractNum w:abstractNumId="4">
    <w:lvl w:ilvl="0">
      <w:start w:val="1"/>
      <w:numFmt w:val="decimal"/>
      <w:lvlText w:val="%1."/>
      <w:lvlJc w:val="start"/>
      <w:pPr>
        <w:tabs>
          <w:tab w:val="num" w:pos="709"/>
        </w:tabs>
        <w:ind w:start="709" w:hanging="283"/>
      </w:pPr>
      <w:rPr/>
    </w:lvl>
    <w:lvl w:ilvl="1">
      <w:start w:val="1"/>
      <w:numFmt w:val="decimal"/>
      <w:lvlText w:val="%2."/>
      <w:lvlJc w:val="start"/>
      <w:pPr>
        <w:tabs>
          <w:tab w:val="num" w:pos="1418"/>
        </w:tabs>
        <w:ind w:start="1418" w:hanging="283"/>
      </w:pPr>
      <w:rPr/>
    </w:lvl>
    <w:lvl w:ilvl="2">
      <w:start w:val="1"/>
      <w:numFmt w:val="decimal"/>
      <w:lvlText w:val="%3."/>
      <w:lvlJc w:val="start"/>
      <w:pPr>
        <w:tabs>
          <w:tab w:val="num" w:pos="2127"/>
        </w:tabs>
        <w:ind w:start="2127" w:hanging="283"/>
      </w:pPr>
      <w:rPr/>
    </w:lvl>
    <w:lvl w:ilvl="3">
      <w:start w:val="1"/>
      <w:numFmt w:val="decimal"/>
      <w:lvlText w:val="%4."/>
      <w:lvlJc w:val="start"/>
      <w:pPr>
        <w:tabs>
          <w:tab w:val="num" w:pos="2836"/>
        </w:tabs>
        <w:ind w:start="2836" w:hanging="283"/>
      </w:pPr>
      <w:rPr/>
    </w:lvl>
    <w:lvl w:ilvl="4">
      <w:start w:val="1"/>
      <w:numFmt w:val="decimal"/>
      <w:lvlText w:val="%5."/>
      <w:lvlJc w:val="start"/>
      <w:pPr>
        <w:tabs>
          <w:tab w:val="num" w:pos="3545"/>
        </w:tabs>
        <w:ind w:start="3545" w:hanging="283"/>
      </w:pPr>
      <w:rPr/>
    </w:lvl>
    <w:lvl w:ilvl="5">
      <w:start w:val="1"/>
      <w:numFmt w:val="decimal"/>
      <w:lvlText w:val="%6."/>
      <w:lvlJc w:val="start"/>
      <w:pPr>
        <w:tabs>
          <w:tab w:val="num" w:pos="4254"/>
        </w:tabs>
        <w:ind w:start="4254" w:hanging="283"/>
      </w:pPr>
      <w:rPr/>
    </w:lvl>
    <w:lvl w:ilvl="6">
      <w:start w:val="1"/>
      <w:numFmt w:val="decimal"/>
      <w:lvlText w:val="%7."/>
      <w:lvlJc w:val="start"/>
      <w:pPr>
        <w:tabs>
          <w:tab w:val="num" w:pos="4963"/>
        </w:tabs>
        <w:ind w:start="4963" w:hanging="283"/>
      </w:pPr>
      <w:rPr/>
    </w:lvl>
    <w:lvl w:ilvl="7">
      <w:start w:val="1"/>
      <w:numFmt w:val="decimal"/>
      <w:lvlText w:val="%8."/>
      <w:lvlJc w:val="start"/>
      <w:pPr>
        <w:tabs>
          <w:tab w:val="num" w:pos="5672"/>
        </w:tabs>
        <w:ind w:start="5672" w:hanging="283"/>
      </w:pPr>
      <w:rPr/>
    </w:lvl>
    <w:lvl w:ilvl="8">
      <w:start w:val="1"/>
      <w:numFmt w:val="decimal"/>
      <w:lvlText w:val="%9."/>
      <w:lvlJc w:val="start"/>
      <w:pPr>
        <w:tabs>
          <w:tab w:val="num" w:pos="6381"/>
        </w:tabs>
        <w:ind w:start="6381" w:hanging="283"/>
      </w:pPr>
      <w:rPr/>
    </w:lvl>
  </w:abstractNum>
  <w:abstractNum w:abstractNumId="5">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00"/>
  <w:defaultTabStop w:val="709"/>
  <w:autoHyphenation w:val="true"/>
  <w:hyphenationZone w:val="0"/>
  <w:footnotePr>
    <w:numFmt w:val="decimal"/>
    <w:footnote w:id="0"/>
    <w:footnote w:id="1"/>
  </w:footnotePr>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Source Han Sans CN Regular" w:cs="Lohit Devanagari"/>
        <w:kern w:val="2"/>
        <w:sz w:val="24"/>
        <w:szCs w:val="24"/>
        <w:lang w:val="en-US" w:eastAsia="en-AU" w:bidi="en-AU"/>
      </w:rPr>
    </w:rPrDefault>
    <w:pPrDefault>
      <w:pPr>
        <w:suppressAutoHyphens w:val="true"/>
      </w:pPr>
    </w:pPrDefault>
  </w:docDefaults>
  <w:style w:type="paragraph" w:styleId="Normal">
    <w:name w:val="Normal"/>
    <w:qFormat/>
    <w:pPr>
      <w:widowControl w:val="false"/>
      <w:suppressAutoHyphens w:val="true"/>
      <w:overflowPunct w:val="true"/>
      <w:bidi w:val="0"/>
      <w:spacing w:before="0" w:after="0"/>
      <w:jc w:val="start"/>
    </w:pPr>
    <w:rPr>
      <w:rFonts w:ascii="Calibri" w:hAnsi="Calibri" w:eastAsia="Source Han Sans CN Regular" w:cs="Lohit Devanagari"/>
      <w:color w:val="auto"/>
      <w:kern w:val="2"/>
      <w:sz w:val="22"/>
      <w:szCs w:val="24"/>
      <w:lang w:val="en-US" w:eastAsia="en-AU" w:bidi="en-AU"/>
    </w:rPr>
  </w:style>
  <w:style w:type="paragraph" w:styleId="Heading1">
    <w:name w:val="heading 1"/>
    <w:basedOn w:val="Heading"/>
    <w:next w:val="BodyText"/>
    <w:qFormat/>
    <w:pPr>
      <w:numPr>
        <w:ilvl w:val="0"/>
        <w:numId w:val="1"/>
      </w:numPr>
      <w:spacing w:before="240" w:after="120"/>
      <w:jc w:val="center"/>
      <w:outlineLvl w:val="0"/>
    </w:pPr>
    <w:rPr>
      <w:rFonts w:ascii="Calibri" w:hAnsi="Calibri"/>
      <w:b/>
      <w:bCs/>
      <w:sz w:val="28"/>
      <w:szCs w:val="36"/>
    </w:rPr>
  </w:style>
  <w:style w:type="paragraph" w:styleId="Heading2">
    <w:name w:val="heading 2"/>
    <w:basedOn w:val="Heading"/>
    <w:next w:val="BodyText"/>
    <w:qFormat/>
    <w:pPr>
      <w:numPr>
        <w:ilvl w:val="1"/>
        <w:numId w:val="1"/>
      </w:numPr>
      <w:spacing w:before="200" w:after="120"/>
      <w:outlineLvl w:val="1"/>
    </w:pPr>
    <w:rPr>
      <w:rFonts w:ascii="Calibri" w:hAnsi="Calibri"/>
      <w:b/>
      <w:bCs/>
      <w:sz w:val="28"/>
      <w:szCs w:val="32"/>
    </w:rPr>
  </w:style>
  <w:style w:type="paragraph" w:styleId="Heading3">
    <w:name w:val="heading 3"/>
    <w:basedOn w:val="Heading"/>
    <w:next w:val="BodyText"/>
    <w:qFormat/>
    <w:pPr>
      <w:numPr>
        <w:ilvl w:val="2"/>
        <w:numId w:val="1"/>
      </w:numPr>
      <w:spacing w:before="140" w:after="120"/>
      <w:outlineLvl w:val="2"/>
    </w:pPr>
    <w:rPr>
      <w:rFonts w:ascii="Calibri" w:hAnsi="Calibri"/>
      <w:b/>
      <w:bCs/>
      <w:sz w:val="28"/>
      <w:szCs w:val="28"/>
    </w:rPr>
  </w:style>
  <w:style w:type="paragraph" w:styleId="Heading4">
    <w:name w:val="heading 4"/>
    <w:basedOn w:val="Heading"/>
    <w:next w:val="BodyText"/>
    <w:qFormat/>
    <w:pPr>
      <w:numPr>
        <w:ilvl w:val="3"/>
        <w:numId w:val="1"/>
      </w:numPr>
      <w:spacing w:before="283" w:after="0"/>
      <w:ind w:hanging="0" w:start="0"/>
      <w:outlineLvl w:val="3"/>
    </w:pPr>
    <w:rPr>
      <w:rFonts w:ascii="Calibri" w:hAnsi="Calibri"/>
      <w:b/>
      <w:bCs/>
      <w:i w:val="false"/>
      <w:iCs/>
      <w:sz w:val="22"/>
      <w:szCs w:val="27"/>
      <w:lang w:val="en-US"/>
    </w:rPr>
  </w:style>
  <w:style w:type="paragraph" w:styleId="Heading5">
    <w:name w:val="heading 5"/>
    <w:basedOn w:val="Heading"/>
    <w:next w:val="BodyText"/>
    <w:qFormat/>
    <w:pPr>
      <w:numPr>
        <w:ilvl w:val="4"/>
        <w:numId w:val="1"/>
      </w:numPr>
      <w:spacing w:before="120" w:after="60"/>
      <w:outlineLvl w:val="4"/>
    </w:pPr>
    <w:rPr>
      <w:b/>
      <w:bCs/>
      <w:sz w:val="24"/>
      <w:szCs w:val="24"/>
    </w:rPr>
  </w:style>
  <w:style w:type="paragraph" w:styleId="Heading6">
    <w:name w:val="heading 6"/>
    <w:basedOn w:val="Heading"/>
    <w:next w:val="BodyText"/>
    <w:qFormat/>
    <w:pPr>
      <w:numPr>
        <w:ilvl w:val="5"/>
        <w:numId w:val="1"/>
      </w:numPr>
      <w:spacing w:before="60" w:after="60"/>
      <w:outlineLvl w:val="5"/>
    </w:pPr>
    <w:rPr>
      <w:b/>
      <w:bCs/>
      <w:i/>
      <w:iCs/>
      <w:sz w:val="24"/>
      <w:szCs w:val="24"/>
    </w:rPr>
  </w:style>
  <w:style w:type="paragraph" w:styleId="Heading7">
    <w:name w:val="heading 7"/>
    <w:basedOn w:val="Heading"/>
    <w:next w:val="BodyText"/>
    <w:qFormat/>
    <w:pPr>
      <w:numPr>
        <w:ilvl w:val="6"/>
        <w:numId w:val="1"/>
      </w:numPr>
      <w:spacing w:before="60" w:after="60"/>
      <w:outlineLvl w:val="6"/>
    </w:pPr>
    <w:rPr>
      <w:b/>
      <w:bCs/>
      <w:sz w:val="22"/>
      <w:szCs w:val="22"/>
    </w:rPr>
  </w:style>
  <w:style w:type="character" w:styleId="NumberingSymbols">
    <w:name w:val="Numbering Symbols"/>
    <w:qFormat/>
    <w:rPr/>
  </w:style>
  <w:style w:type="character" w:styleId="Bullets">
    <w:name w:val="Bullets"/>
    <w:qFormat/>
    <w:rPr>
      <w:rFonts w:ascii="OpenSymbol" w:hAnsi="OpenSymbol" w:eastAsia="OpenSymbol" w:cs="OpenSymbol"/>
    </w:rPr>
  </w:style>
  <w:style w:type="character" w:styleId="Bulletsuser">
    <w:name w:val="Bullets (user)"/>
    <w:qFormat/>
    <w:rPr>
      <w:rFonts w:ascii="OpenSymbol" w:hAnsi="OpenSymbol" w:eastAsia="OpenSymbol" w:cs="OpenSymbol"/>
    </w:rPr>
  </w:style>
  <w:style w:type="character" w:styleId="Strong">
    <w:name w:val="Strong"/>
    <w:qFormat/>
    <w:rPr>
      <w:b/>
      <w:bCs/>
    </w:rPr>
  </w:style>
  <w:style w:type="character" w:styleId="Emphasis">
    <w:name w:val="Emphasis"/>
    <w:qFormat/>
    <w:rPr>
      <w:i/>
      <w:iCs/>
    </w:rPr>
  </w:style>
  <w:style w:type="character" w:styleId="FootnoteCharacters">
    <w:name w:val="Footnote Characters"/>
    <w:qFormat/>
    <w:rPr>
      <w:vertAlign w:val="superscript"/>
    </w:rPr>
  </w:style>
  <w:style w:type="character" w:styleId="FootnoteReference">
    <w:name w:val="footnote reference"/>
    <w:rPr>
      <w:vertAlign w:val="superscript"/>
    </w:rPr>
  </w:style>
  <w:style w:type="character" w:styleId="FootnoteCharactersuser">
    <w:name w:val="Footnote Characters (user)"/>
    <w:qFormat/>
    <w:rPr/>
  </w:style>
  <w:style w:type="character" w:styleId="EndnoteCharacters">
    <w:name w:val="Endnote Characters"/>
    <w:qFormat/>
    <w:rPr>
      <w:vertAlign w:val="superscript"/>
    </w:rPr>
  </w:style>
  <w:style w:type="character" w:styleId="EndnoteReference">
    <w:name w:val="endnote reference"/>
    <w:rPr>
      <w:vertAlign w:val="superscript"/>
    </w:rPr>
  </w:style>
  <w:style w:type="character" w:styleId="EndnoteCharactersuser">
    <w:name w:val="Endnote Characters (user)"/>
    <w:qFormat/>
    <w:rPr/>
  </w:style>
  <w:style w:type="paragraph" w:styleId="Heading">
    <w:name w:val="Heading"/>
    <w:basedOn w:val="Normal"/>
    <w:next w:val="BodyText"/>
    <w:qFormat/>
    <w:pPr>
      <w:keepNext w:val="true"/>
      <w:spacing w:before="240" w:after="120"/>
    </w:pPr>
    <w:rPr>
      <w:rFonts w:ascii="Liberation Sans" w:hAnsi="Liberation Sans" w:eastAsia="Source Han Sans CN Regular" w:cs="Lohit Devanagari"/>
      <w:sz w:val="28"/>
      <w:szCs w:val="28"/>
    </w:rPr>
  </w:style>
  <w:style w:type="paragraph" w:styleId="BodyText">
    <w:name w:val="Body Text"/>
    <w:basedOn w:val="Normal"/>
    <w:pPr>
      <w:spacing w:lineRule="auto" w:line="240" w:before="0" w:after="0"/>
    </w:pPr>
    <w:rPr>
      <w:rFonts w:ascii="Calibri" w:hAnsi="Calibri"/>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BlockQuotation">
    <w:name w:val="Block Quotation"/>
    <w:basedOn w:val="Normal"/>
    <w:qFormat/>
    <w:pPr>
      <w:spacing w:before="0" w:after="283"/>
      <w:ind w:hanging="0" w:start="567" w:end="567"/>
    </w:pPr>
    <w:rPr/>
  </w:style>
  <w:style w:type="paragraph" w:styleId="Title">
    <w:name w:val="Title"/>
    <w:basedOn w:val="Heading"/>
    <w:next w:val="BodyText"/>
    <w:qFormat/>
    <w:pPr>
      <w:jc w:val="center"/>
    </w:pPr>
    <w:rPr>
      <w:b/>
      <w:bCs/>
      <w:sz w:val="56"/>
      <w:szCs w:val="56"/>
    </w:rPr>
  </w:style>
  <w:style w:type="paragraph" w:styleId="Subtitle">
    <w:name w:val="Subtitle"/>
    <w:basedOn w:val="Heading"/>
    <w:next w:val="BodyText"/>
    <w:qFormat/>
    <w:pPr>
      <w:spacing w:before="60" w:after="120"/>
      <w:jc w:val="center"/>
    </w:pPr>
    <w:rPr>
      <w:sz w:val="36"/>
      <w:szCs w:val="36"/>
    </w:rPr>
  </w:style>
  <w:style w:type="paragraph" w:styleId="HeaderandFooter">
    <w:name w:val="Header and Footer"/>
    <w:basedOn w:val="Normal"/>
    <w:qFormat/>
    <w:pPr>
      <w:suppressLineNumbers/>
      <w:tabs>
        <w:tab w:val="clear" w:pos="709"/>
        <w:tab w:val="center" w:pos="4479" w:leader="none"/>
        <w:tab w:val="right" w:pos="8958" w:leader="none"/>
      </w:tabs>
    </w:pPr>
    <w:rPr/>
  </w:style>
  <w:style w:type="paragraph" w:styleId="Footer">
    <w:name w:val="footer"/>
    <w:basedOn w:val="HeaderandFooter"/>
    <w:pPr>
      <w:suppressLineNumbers/>
    </w:pPr>
    <w:rPr/>
  </w:style>
  <w:style w:type="paragraph" w:styleId="FootnoteText">
    <w:name w:val="footnote text"/>
    <w:basedOn w:val="Normal"/>
    <w:pPr>
      <w:suppressLineNumbers/>
      <w:ind w:hanging="340" w:start="340"/>
    </w:pPr>
    <w:rPr>
      <w:sz w:val="20"/>
      <w:szCs w:val="20"/>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footer" Target="footer3.xml"/><Relationship Id="rId5" Type="http://schemas.openxmlformats.org/officeDocument/2006/relationships/footnotes" Target="footnotes.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default</Template>
  <TotalTime>33</TotalTime>
  <Application>LibreOffice/26.2.5.2$Windows_X86_64 LibreOffice_project/cd7284b4cbbfeb507e630c1aac019f4157393acb</Application>
  <AppVersion>15.0000</AppVersion>
  <Pages>2</Pages>
  <Words>661</Words>
  <Characters>4046</Characters>
  <CharactersWithSpaces>4640</CharactersWithSpaces>
  <Paragraphs>51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2026-09-01T14:49:37Z</dcterms:created>
  <dc:creator/>
  <dc:description/>
  <dc:language>en-AU</dc:language>
  <cp:lastModifiedBy/>
  <dcterms:modified xsi:type="dcterms:W3CDTF">2026-09-02T10:48:22Z</dcterms:modified>
  <cp:revision>13</cp:revision>
  <dc:subject/>
  <dc:title>default</dc:title>
</cp:coreProperties>
</file>

<file path=docProps/custom.xml><?xml version="1.0" encoding="utf-8"?>
<Properties xmlns="http://schemas.openxmlformats.org/officeDocument/2006/custom-properties" xmlns:vt="http://schemas.openxmlformats.org/officeDocument/2006/docPropsVTypes"/>
</file>